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2"/>
          <w:szCs w:val="42"/>
          <w:shd w:val="clear" w:fill="FFFFFF"/>
        </w:rPr>
        <w:t>关于2019年度安徽省科学技术奖提名项目的公示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30" w:lineRule="atLeast"/>
        <w:ind w:right="450" w:firstLine="48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根据安徽省科技厅皖科基奖秘〔2019〕144号文《关于2019年度安徽省科学技术奖提名工作的通知》精神，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阜阳市人民政府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择优提名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“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医药中间体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-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杂环戊烷基甲酸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-L-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薄荷酯的合成关键技术研究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”项目申报2019年度安徽省科学技术进步奖，同时按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照通知要求，对拟提名项目进行公示，公示期为7天，主要公示内容见附件。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30" w:lineRule="atLeast"/>
        <w:ind w:right="450" w:firstLine="48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对公示内容有异议者，请于2019年4月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日至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19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日期间向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阜阳市人民政府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提出，过期则视为无异议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30" w:lineRule="atLeast"/>
        <w:ind w:right="450" w:firstLine="48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30" w:lineRule="atLeast"/>
        <w:ind w:right="450" w:firstLine="480" w:firstLineChars="20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安徽一帆香料有限公司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30" w:lineRule="atLeast"/>
        <w:ind w:right="450" w:firstLine="480" w:firstLineChars="200"/>
        <w:jc w:val="righ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2019年4月12日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30" w:lineRule="atLeast"/>
        <w:ind w:right="450" w:firstLine="480" w:firstLineChars="200"/>
        <w:jc w:val="both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30" w:lineRule="atLeast"/>
        <w:ind w:right="450" w:firstLine="48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30" w:lineRule="atLeast"/>
        <w:ind w:right="450" w:firstLine="48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30" w:lineRule="atLeast"/>
        <w:ind w:right="450" w:firstLine="48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30" w:lineRule="atLeast"/>
        <w:ind w:right="450" w:firstLine="48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30" w:lineRule="atLeast"/>
        <w:ind w:right="450" w:rightChars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一、项目名称：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医药中间体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-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杂环戊烷基甲酸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-L-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薄荷酯的合成关键技术研究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30" w:lineRule="atLeast"/>
        <w:ind w:right="45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二、提名者及提名意见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30" w:lineRule="atLeast"/>
        <w:ind w:right="450" w:firstLine="48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提名者：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阜阳市人民政府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提名意见：“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医药中间体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-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杂环戊烷基甲酸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-L-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薄荷酯的合成关键技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术研究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”项目是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安徽一帆香料有限公司和合肥工业大学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联合立项的重大科技创新项目。研究出一条具有使用新型催化剂、生产工艺稳定、产品纯度高、能耗低、总成本低、自动化程度高、安全可靠性高、工艺技术先进性高等特点的技术路线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项目成果主要经济技术指标达到国际先进水平。成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果的成功应用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为推进安徽阜阳（太和）现代医药产业集聚发展基地发展和国家火炬太和医药高端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制剂特色产业基地建设，打造华东最大的生物医药生产基地有着重要的推动作用和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积极意义，经济和社会效益显著，市场前景广阔。建议加大推广力度。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项目完成后，新建产品线投入生产，达到年产48吨恩曲他滨及中间体生产能力。新增恩曲他滨原料药及中间体销售收入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1151.69万元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万元，其中出品创汇163.5万美元，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新增项目利润321.44万元，新增项目税金12.56万元。</w:t>
      </w:r>
    </w:p>
    <w:p>
      <w:pPr>
        <w:numPr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三、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项目简介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恩曲他滨英文名为Emtricitabine，是由美国Gilead Siences公司研制成功的一种新型核苷类逆转录酶抑制剂，属抗病毒类药物，对HIV-1、HIV-2及HBV均有抗病毒活性，于2003年7月首次在美国上市的1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,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-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氧硫杂环戊烷类脱氧核糖氟胞嘧啶核苷类似物，化学名为5-氟-1-(2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R, 5S)-[2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-羟甲基-1,3-氧硫杂环戊烷-5-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酰基]胞嘧啶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。拉米夫定英文名lamivudine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，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又称3-TC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，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为核苷类逆转录酶抑制剂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，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是一种脱氧胞嘧啶核苷类似物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，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在已知的合成HME-Cl方法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中，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存在步骤多、收率低，光学异构体选择性差等缺点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。本项目的主要研究内容是：1）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如何高立体选择性地合成中间体HME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；2）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如何高度构型保持地合成HME-Cl。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通过本项目的实施，获得恩曲他滨及其中间体的绿色合成工艺；实现恩曲他滨中间体FCME收率大于80%，纯度不小于98.5%，对映异构体≤0.5%，非对映异构体≤0.5%，总杂≤1.5%；获得符合国家药典要求的恩曲他滨产品。</w:t>
      </w:r>
    </w:p>
    <w:p>
      <w:pPr>
        <w:numPr>
          <w:numId w:val="0"/>
        </w:numPr>
        <w:spacing w:line="360" w:lineRule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四、客观评价</w:t>
      </w:r>
    </w:p>
    <w:p>
      <w:pPr>
        <w:numPr>
          <w:numId w:val="0"/>
        </w:numPr>
        <w:spacing w:line="360" w:lineRule="auto"/>
        <w:ind w:firstLine="480" w:firstLineChars="20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201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31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日，本项目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经安徽省科技厅组织专家验收并一致通过，验收意见：以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L-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薄荷酯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为原料，采用串联合成方法，制备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杂环戊烷基甲酸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-L-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薄荷酯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，具有反应条件温和、立体选择性高、收率高等特点，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FCME收率大于81-83%，纯度大于98.5%，对映异构体含量0.2-0.4%，非对映异构体0.1-0.5%，总杂≤1.3%；</w:t>
      </w:r>
    </w:p>
    <w:p>
      <w:pPr>
        <w:numPr>
          <w:numId w:val="0"/>
        </w:numPr>
        <w:spacing w:line="360" w:lineRule="auto"/>
        <w:ind w:firstLine="480" w:firstLineChars="20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本项目成果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于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2018年11月1日经安徽省科技厅发布科技成果登记证书（登记号：2018F023Y002156）。</w:t>
      </w:r>
    </w:p>
    <w:p>
      <w:pPr>
        <w:numPr>
          <w:numId w:val="0"/>
        </w:numPr>
        <w:spacing w:line="360" w:lineRule="auto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五、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本项目关键技术创新点如下： 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1、采用新型密封式三合一（离心、供干、粉碎）自动化设备，杜绝无组织气体排放，减少了后处理操作步骤。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2、经过酯化、环合、缩合、还原、碱析、精制等反应制得，降低了总杂、单杂含量,提高了产品质量,获得一条稳定的绿色合成工艺。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3、简化了合成步骤，提高收率。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4、原料药采用先进的手性药物合成技术，其工艺的关键在于手性拆分和工艺路线的独特性，是高技术产业化项目，技术含量高，污染小。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5、通过采用硅藻土吸附除无机盐技术，解决了传统技术难以克服的原料药所含灼烧残渣超标的问题。</w:t>
      </w:r>
    </w:p>
    <w:p>
      <w:pPr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六、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推广应用情况、经济效益和社会效益</w:t>
      </w:r>
    </w:p>
    <w:p>
      <w:pPr>
        <w:pStyle w:val="3"/>
        <w:ind w:left="0" w:leftChars="0" w:firstLine="480" w:firstLineChars="20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项目实施后，开发出了医药中间体—杂环戊烷基甲酸-L-薄荷酯的合成生产工艺，实现恩曲他滨及中间体生产线1条，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达到年产48吨恩曲他滨及中间体生产能力。新增恩曲他滨原料药及中间体销售收入1151.69万元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万元，其中出品创汇163.5万美元，新增项目利润321.44万元，新增项目税金12.56万元。该项目的实施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将进一步提升公司产品的知名度，提升产品竞争力。引进人才团队1个，引进人才3人，培训人员165人次，制订1项企业标准；申请发明专利3项和实用新型专利4项，取得1项发明专利和2项实用新型专利。培养安徽省技术领军人才1人。2016-2017年度阜阳市市长质量奖、太和县县长质量奖。2017年省级企业技术中心评价合格，高新技术企业通过第三次评定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该项目的实施，公司将在恩曲他滨原料药及其中间体产业化的基础上，产业链向下游高附加值的制剂领域延伸，形成中间体、原料药、制剂一体化的完整产业链。由于成本降低，销售价格也将远远低于国外公司价格。同时公司将与政府相关部门合作，为中国等国家艾滋病人提供质优价廉的药物，为发展中国家患者带来福音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 通过项目的实施，共培训专业技术人员15人，项目吸纳直接就业人数33人，对提高当地群众的生活水平，维护社会稳定也有一定的积极作用。</w:t>
      </w:r>
    </w:p>
    <w:p>
      <w:pPr>
        <w:numPr>
          <w:numId w:val="0"/>
        </w:numPr>
        <w:spacing w:line="360" w:lineRule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七、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主要知识产权和标准规范等目录 </w:t>
      </w:r>
    </w:p>
    <w:p>
      <w:pPr>
        <w:numPr>
          <w:numId w:val="0"/>
        </w:numPr>
        <w:spacing w:line="360" w:lineRule="auto"/>
        <w:ind w:firstLine="480" w:firstLineChars="20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申请发明专利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项，实用新型专利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项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，取得发明专利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1项（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一类双亚砜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化合物及其合成方法与应用，专利授权号：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ZL 2015 1 0623401.7）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，实用新型专利2项(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一种物料配料混合装置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授权号: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ZL 201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1244600.3,一种恩曲他滨原料药混合装置，201820856130.9)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制定了企业内部标准1项</w:t>
      </w:r>
    </w:p>
    <w:p>
      <w:pPr>
        <w:numPr>
          <w:ilvl w:val="0"/>
          <w:numId w:val="1"/>
        </w:numPr>
        <w:spacing w:line="360" w:lineRule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主要完成单位及创新推广贡献 </w:t>
      </w:r>
    </w:p>
    <w:p>
      <w:pPr>
        <w:numPr>
          <w:numId w:val="0"/>
        </w:numPr>
        <w:spacing w:line="360" w:lineRule="auto"/>
        <w:ind w:firstLine="480" w:firstLineChars="20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第一完成单位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：安徽一帆香料有限公司，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提供试验用部分产品标样，负责资金使用的监督与落实，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设备设施的提供及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部分原材料的组织与采购供应保障任务提供；负责相关原料、中间体和产品的质量检测分析，同时派技术人员参加研究工作。</w:t>
      </w:r>
    </w:p>
    <w:p>
      <w:pPr>
        <w:numPr>
          <w:numId w:val="0"/>
        </w:numPr>
        <w:spacing w:line="360" w:lineRule="auto"/>
        <w:ind w:firstLine="480" w:firstLineChars="20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第二完成单位：合肥工业大学，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承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担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制备方法和产品小试技术与工艺的研究，并负责有关原料、中间体和产品的质量检测分析方法的研究。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完成人合作关系说明 </w:t>
      </w:r>
    </w:p>
    <w:p>
      <w:pPr>
        <w:numPr>
          <w:numId w:val="0"/>
        </w:numPr>
        <w:spacing w:line="360" w:lineRule="auto"/>
        <w:ind w:firstLine="480" w:firstLineChars="20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项目主持人由安徽一帆香料有限公司副总经理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钟琦高级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工程师担任，负责项目的建设与研究管理和协调工作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numPr>
          <w:numId w:val="0"/>
        </w:numPr>
        <w:spacing w:line="360" w:lineRule="auto"/>
        <w:ind w:firstLine="480" w:firstLineChars="20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、项目主持人钟琦，男，1970年11月出生，高级工程师。主要从事化学合成技术的研究与开发工作。1992年至2003年9月，工作于湖北制药厂，先后担任阿托达唑车间工段技术员、车间主任，参与并主持阿托达唑质量攻关，产品达到USP23版标准。2003年至2008年10月，工作于厦门迈克制药有限公司，先后担任项目负责人，车间主任，进行过拉米夫定、齐多夫定、奈韦拉平等产品的研发与生产。2008年11月至今，工作于安徽一帆香料有限公司任副总经理</w:t>
      </w:r>
    </w:p>
    <w:p>
      <w:pPr>
        <w:numPr>
          <w:numId w:val="0"/>
        </w:numPr>
        <w:spacing w:line="360" w:lineRule="auto"/>
        <w:ind w:firstLine="480" w:firstLineChars="20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李天赋，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男，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1985年8月出生，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厦门大学化学系本科毕业，合肥工业大学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硕士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研究生，工程师，现任安徽一帆香料副总经理。2007年到2008年10月，工作于厦门迈克制药有限公司，在第二生产车间先后担任生产技术员、工段长的职务，主要负责拉米夫定的研发和生产，并获得“拉米夫定工艺改进创新奖”，同时还参与奈韦拉平和齐多夫定的生产，并获得公司“先进工作者”荣誉称号。2008年11月至今，在安徽一帆香料有限公司工作，主要负责项目的研发和生产技术管理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numPr>
          <w:numId w:val="0"/>
        </w:numPr>
        <w:spacing w:line="360" w:lineRule="auto"/>
        <w:ind w:firstLine="480" w:firstLineChars="20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周彬，河南工业大学化学工程与工艺专业毕业，本科学历，助理工程师，现在是公司研发骨干。2007年到2008年10月，工作于厦门迈克制药有限公司，在第一生产车间先后担任生产技术员、工段长的职务，主要负责奈韦拉平的研发和生产，并获得“奈韦拉平生产技术创新奖”，同时还参与拉米夫定、依法韦仑和齐多夫定的生产，并获得公司“先进工作者”荣誉称号。2008年11月至今，在安徽一帆香料有限公司工作，主要负责WS-3的研发和生产。2010年获得阜阳市科技进步奖二等奖，太和县科技进步一等奖。</w:t>
      </w:r>
    </w:p>
    <w:p>
      <w:pPr>
        <w:numPr>
          <w:numId w:val="0"/>
        </w:numPr>
        <w:spacing w:line="360" w:lineRule="auto"/>
        <w:ind w:firstLine="480" w:firstLineChars="20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李有桂，男，1969年12月出生，博士，研究员，硕士生导师。2004年6月在中国科学技术大学化学系学习（硕博连读），获得博士学位，主要从事手性配体的设计、合成与不对称催化反应。2004年7月至2006年10月作为博士后在日本三得利生物有机研究所（Suntory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Institute for Bioorganic esearch, Osaka, Japan）学习，从事生物活性小分子的设计、合成及生物活性测试的研究；2006年11月起在合肥工业大学化工学院工作。主要从事催化不对称合成和生物活性小分子合成的研究，在有机合成和不对称催化反应等研究方面具有多年的工作积累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numPr>
          <w:numId w:val="0"/>
        </w:numPr>
        <w:spacing w:line="360" w:lineRule="auto"/>
        <w:ind w:firstLine="480" w:firstLineChars="20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本项目由安徽一帆香料有限公司项目研发人员与合肥工业大学共同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完成了本项目的科研开发工作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FB696"/>
    <w:multiLevelType w:val="singleLevel"/>
    <w:tmpl w:val="779FB696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091700"/>
    <w:rsid w:val="0D091700"/>
    <w:rsid w:val="3362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仿宋_GB2312" w:hAnsi="Times New Roman" w:cs="Times New Roman"/>
      <w:kern w:val="2"/>
      <w:szCs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style321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2019-04-12T05:59:00Z</dcterms:created>
  <dc:creator>安可</dc:creator>
  <cp:lastModifiedBy>安可</cp:lastModifiedBy>
  <dcterms:modified xsi:type="dcterms:W3CDTF">2019-04-12T07:31:44Z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